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UmstG — Umstellung der Reichsmarkverbindlichkeiten auf Deutsche Mark</w:t>
      </w:r>
    </w:p>
    <w:p>
      <w:r>
        <w:rPr>
          <w:color w:val="555555"/>
          <w:sz w:val="18"/>
        </w:rPr>
        <w:t xml:space="preserve">Umstellungsgesetz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Reichsmarkforderungen werden grundsätzlich mit der Wirkung auf Deutsche Mark umgestellt, daß der Schuldner an den Gläubiger für je zehn Reichsmark eine Deutsche Mark zu zahlen hat.</w:t>
      </w:r>
    </w:p>
    <w:p>
      <w:r>
        <w:t xml:space="preserve">(2)</w:t>
      </w:r>
    </w:p>
    <w:p>
      <w:r>
        <w:t xml:space="preserve">(3) Die Heranziehung der Schuldnergewinne zum Lastenausgleich obliegt der deutschen Gesetzgebung.</w:t>
      </w:r>
    </w:p>
    <w:p>
      <w:r>
        <w:rPr>
          <w:color w:val="555555"/>
          <w:sz w:val="17"/>
        </w:rPr>
        <w:t xml:space="preserve">Zitiervorschlag: § 16 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