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UmstG — Verbindlichkeiten des Reichs und gleichgestellte Verbindlichkeiten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Vorbehaltlich einer allgemeinen Regelung für die Ansprüche der im § 13 Abs. 4 bezeichneten Personen und Vereinigungen finden die Vorschriften im Zweiten, Dritten und Vierten Abschnitt von Teil II dieses Gesetzes auf folgende Reichsmarkverbindlichkeiten keine Anwendung:</w:t>
      </w:r>
    </w:p>
    <w:p>
      <w:pPr>
        <w:ind w:left="420"/>
      </w:pPr>
      <w:r>
        <w:t xml:space="preserve">1. Verbindlichkeiten des Reichs,</w:t>
      </w:r>
    </w:p>
    <w:p>
      <w:pPr>
        <w:ind w:left="420"/>
      </w:pPr>
      <w:r>
        <w:t xml:space="preserve">2. Verbindlichkeiten der NSDAP, ihrer Gliederungen und angeschlossenen Verbände, sowie aller übrigen Organisationen, die von der Militärregierung aufgelöst worden sind,</w:t>
      </w:r>
    </w:p>
    <w:p>
      <w:pPr>
        <w:ind w:left="420"/>
      </w:pPr>
      <w:r>
        <w:t xml:space="preserve">3. vor dem 9. Mai 1945 begründete Verbindlichkeiten der Reichsbahn und der Reichspost, soweit sie nicht von den Bahn- und Postverwaltungen im Währungsgebiet übernommen werden,</w:t>
      </w:r>
    </w:p>
    <w:p>
      <w:pPr>
        <w:ind w:left="420"/>
      </w:pPr>
      <w:r>
        <w:t xml:space="preserve">4. Verbindlichkeiten der Reichsbank, soweit sie nicht von den Landeszentralbanken übernommen werden,</w:t>
      </w:r>
    </w:p>
    <w:p>
      <w:r>
        <w:t xml:space="preserve">5.</w:t>
      </w:r>
    </w:p>
    <w:p>
      <w:r>
        <w:rPr>
          <w:color w:val="555555"/>
          <w:sz w:val="17"/>
        </w:rPr>
        <w:t xml:space="preserve">Zitiervorschlag: § 14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