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UmstG — Ausstattung der Geldinstitute mit einem angemessenen Eigenkapital</w:t>
      </w:r>
    </w:p>
    <w:p>
      <w:r>
        <w:rPr>
          <w:color w:val="555555"/>
          <w:sz w:val="18"/>
        </w:rPr>
        <w:t xml:space="preserve">Umstellungsgesetz</w:t>
      </w:r>
    </w:p>
    <w:p>
      <w:r>
        <w:rPr>
          <w:color w:val="555555"/>
          <w:sz w:val="18"/>
        </w:rPr>
        <w:t xml:space="preserve">Stand: 10.06.2019 (konsolidierte Textfassung, kein amtliches Inkrafttretensdatum)</w:t>
      </w:r>
    </w:p>
    <w:p>
      <w:r>
        <w:t xml:space="preserve">(1) Die Zuteilung von Ausgleichsforderungen an die Geldinstitute ist grundsätzlich so zu bemessen, daß die Vermögenswerte ausreichen, um neben den aus der Umstellung des Geldwesens hervorgehenden Verbindlichkeiten der Geldinstitute sowie den auf Deutsche Mark umgestellten nichtbankgeschäftlichen Verbindlichkeiten auch ein angemessenes Eigenkapital zu decken. Das Nähere hierfür bestimmt eine Durchführungsverordnung.</w:t>
      </w:r>
    </w:p>
    <w:p>
      <w:r>
        <w:t xml:space="preserve">(2) War ein Geldinstitut vor der Umstellung ohne Eigenkapital, so kann an die Zuteilung der Ausgleichsforderung der Vorbehalt geknüpft werden, daß sie in Höhe des auf die Ausstattung mit einem vorläufigen Eigenkapital entfallenden Betrages dem Land zur angemessenen Verwendung wieder zur Verfügung zu stellen ist, sobald das Geldinstitut ein angemessenes Eigenkapital anderweitig beschafft hat.</w:t>
      </w:r>
    </w:p>
    <w:p>
      <w:r>
        <w:t xml:space="preserve">(3) Bei Geldinstituten, die der Zuteilung einer Ausgleichsforderung gegen die öffentliche Hand nicht bedürfen, soll das Eigenkapital nach der Umstellung der Bilanz auf Deutsche Mark den Betrag von hundert Deutsche Mark für je hundert Reichsmark des in der Bilanz zum 31. Dezember 1947 ausgewiesenen Eigenkapitals nicht übersteigen. Ein etwaiger Überschuß über diesen Betrag fällt nach näherer Bestimmung einer Durchführungsverordnung der öffentlichen Hand zu.</w:t>
      </w:r>
    </w:p>
    <w:p>
      <w:r>
        <w:rPr>
          <w:color w:val="555555"/>
          <w:sz w:val="17"/>
        </w:rPr>
        <w:t xml:space="preserve">Zitiervorschlag: § 12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