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UmstBauSparkV — Nichtbewertungsfähige Vermögensgegenstände</w:t>
      </w:r>
    </w:p>
    <w:p>
      <w:r>
        <w:rPr>
          <w:color w:val="555555"/>
          <w:sz w:val="18"/>
        </w:rPr>
        <w:t xml:space="preserve">Verordnung über die Umstellungsrechnung der Bausparkassen aus Anlaß der Neuordnung des Geldwesens</w:t>
      </w:r>
    </w:p>
    <w:p>
      <w:r>
        <w:rPr>
          <w:color w:val="555555"/>
          <w:sz w:val="18"/>
        </w:rPr>
        <w:t xml:space="preserve">Stand: 10.06.2019 (konsolidierte Textfassung, kein amtliches Inkrafttretensdatum)</w:t>
      </w:r>
    </w:p>
    <w:p>
      <w:r>
        <w:t xml:space="preserve">Solange ein Vermögensgegenstand nicht genau bewertet werden kann, ist er mit dem Betrag anzusetzen, bis zu dem eine zuverlässige Bewertung möglich ist. Solange eine Bewertung überhaupt nicht möglich ist, ist er mit einem Merkposten von einer Deutschen Mark anzusetzen. Mehrere Vermögensgegenstände derselben Art können zu einem Merkposten von einer Deutschen Mark zusammengefaßt werden.</w:t>
      </w:r>
    </w:p>
    <w:p>
      <w:r>
        <w:rPr>
          <w:color w:val="555555"/>
          <w:sz w:val="17"/>
        </w:rPr>
        <w:t xml:space="preserve">Zitiervorschlag: § 4 UmstBauSparkV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https://recht.nulegal.eu/gesetze/UmstBauSparkV/4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