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 UmstBauSparkV — Geltung im Saarland</w:t>
      </w:r>
    </w:p>
    <w:p>
      <w:r>
        <w:rPr>
          <w:color w:val="555555"/>
          <w:sz w:val="18"/>
        </w:rPr>
        <w:t xml:space="preserve">Verordnung über die Umstellungsrechnung der Bausparkassen aus Anlaß der Neuordnung des Geldwesens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nicht im Saarland.</w:t>
      </w:r>
    </w:p>
    <w:p>
      <w:r>
        <w:rPr>
          <w:color w:val="555555"/>
          <w:sz w:val="17"/>
        </w:rPr>
        <w:t xml:space="preserve">Zitiervorschlag: § 24 UmstBauSparkV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https://recht.nulegal.eu/gesetze/UmstBauSparkV/24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 UmstBauSparkV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