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UmstBauSparkV</w:t>
      </w:r>
    </w:p>
    <w:p>
      <w:r>
        <w:rPr>
          <w:color w:val="555555"/>
          <w:sz w:val="18"/>
        </w:rPr>
        <w:t xml:space="preserve">Verordnung über die Umstellungsrechnung der Bausparkassen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UmstBauSparkV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https://recht.nulegal.eu/gesetze/UmstBauSparkV/21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