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UmstBauSparkV — Wertberichtigungen</w:t>
      </w:r>
    </w:p>
    <w:p>
      <w:r>
        <w:rPr>
          <w:color w:val="555555"/>
          <w:sz w:val="18"/>
        </w:rPr>
        <w:t xml:space="preserve">Verordnung über die Umstellungsrechnung der Bausparkassen aus Anlaß der Neuordnung des Geldwesens</w:t>
      </w:r>
    </w:p>
    <w:p>
      <w:r>
        <w:rPr>
          <w:color w:val="555555"/>
          <w:sz w:val="18"/>
        </w:rPr>
        <w:t xml:space="preserve">Stand: 10.06.2019 (konsolidierte Textfassung, kein amtliches Inkrafttretensdatum)</w:t>
      </w:r>
    </w:p>
    <w:p>
      <w:r>
        <w:t xml:space="preserve">Falls eine Forderung mit einem unter dem Nennbetrag liegenden Wert eingestellt werden darf, kann dies auch in der Weise geschehen, daß auf der Aktivseite der Nennbetrag der Forderung und auf der Passivseite ein entsprechender Wertberichtigungsposten angesetzt wird.</w:t>
      </w:r>
    </w:p>
    <w:p>
      <w:r>
        <w:rPr>
          <w:color w:val="555555"/>
          <w:sz w:val="17"/>
        </w:rPr>
        <w:t xml:space="preserve">Zitiervorschlag: § 18 UmstBauSparkV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https://recht.nulegal.eu/gesetze/UmstBauSparkV/18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