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UmstBauSparkV — Durchlaufende Kredite</w:t>
      </w:r>
    </w:p>
    <w:p>
      <w:r>
        <w:rPr>
          <w:color w:val="555555"/>
          <w:sz w:val="18"/>
        </w:rPr>
        <w:t xml:space="preserve">Verordnung über die Umstellungsrechnung der Bausparkassen aus Anlaß der Neuordnung des Geldwesens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Durchlaufende Kredite aus Treuhandgeschäften sind auf der Aktivseite und auf der Passivseite mit dem gleichen Betrage anzusetzen und bei der Berechnung des vorläufigen Eigenkapitals nach § 4 Abs. 1 A d Satz 2 der Bausparkassenverordnung in der Fassung des § 1 Nr. 2 der Vierundvierzigsten Durchführungsverordnung zum Umstellungsgesetz von den Verbindlichkeiten abzusetzen.</w:t>
      </w:r>
    </w:p>
    <w:p>
      <w:r>
        <w:rPr>
          <w:color w:val="555555"/>
          <w:sz w:val="17"/>
        </w:rPr>
        <w:t xml:space="preserve">Zitiervorschlag: § 17 UmstBauSparkV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https://recht.nulegal.eu/gesetze/UmstBauSparkV/17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