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UmstBauSparkV — Rückerstattungs- und Wiedergutmachungsverbindlichkeiten</w:t>
      </w:r>
    </w:p>
    <w:p>
      <w:r>
        <w:rPr>
          <w:color w:val="555555"/>
          <w:sz w:val="18"/>
        </w:rPr>
        <w:t xml:space="preserve">Verordnung über die Umstellungsrechnung der Bausparkassen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Rückerstattungs- und Wiedergutmachungsverbindlichkeiten dürfen erst berücksichtigt werden, wenn ihr Umfang durch Entscheidung oder Vergleich festgestellt ist.</w:t>
      </w:r>
    </w:p>
    <w:p>
      <w:r>
        <w:rPr>
          <w:color w:val="555555"/>
          <w:sz w:val="17"/>
        </w:rPr>
        <w:t xml:space="preserve">Zitiervorschlag: § 14 UmstBauSparkV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https://recht.nulegal.eu/gesetze/UmstBauSparkV/14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UmstBauSparkV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