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 UmstBauSparkV — Rückstellungen</w:t>
      </w:r>
    </w:p>
    <w:p>
      <w:r>
        <w:rPr>
          <w:color w:val="555555"/>
          <w:sz w:val="18"/>
        </w:rPr>
        <w:t xml:space="preserve">Verordnung über die Umstellungsrechnung der Bausparkassen aus Anlaß der Neuordnung des Geldwesens</w:t>
      </w:r>
    </w:p>
    <w:p>
      <w:r>
        <w:rPr>
          <w:color w:val="555555"/>
          <w:sz w:val="18"/>
        </w:rPr>
        <w:t xml:space="preserve">Stand: 10.06.2019 (konsolidierte Textfassung, kein amtliches Inkrafttretensdatum)</w:t>
      </w:r>
    </w:p>
    <w:p>
      <w:r>
        <w:t xml:space="preserve">(1) Rückstellungen dürfen gebildet werden, soweit der Grund für eine Verbindlichkeit, deren Höhe am 21. Juni 1948 noch nicht feststand, bereits am 21. Juni 1948 gegeben war.</w:t>
      </w:r>
    </w:p>
    <w:p>
      <w:r>
        <w:t xml:space="preserve">(2) Rückstellungen dürfen auch für die Kosten einer zweckentsprechenden Rechtsverteidigung wegen einer Verbindlichkeit gebildet werden, die in die Umstellungsrechnung einzustellen wäre. Das gleiche gilt für die Kosten einer nicht mutwilligen oder einer auf Veranlassung der Aufsichtsbehörde durchgeführten Rechtsverfolgung wegen eines Vermögenswertes, der in die Umstellungsrechnung einzustellen wäre.</w:t>
      </w:r>
    </w:p>
    <w:p>
      <w:r>
        <w:rPr>
          <w:color w:val="555555"/>
          <w:sz w:val="17"/>
        </w:rPr>
        <w:t xml:space="preserve">Zitiervorschlag: § 11 UmstBauSparkV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https://recht.nulegal.eu/gesetze/UmstBauSparkV/11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 UmstBauSparkV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