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UmlegAusschV (Bayern)</w:t>
      </w:r>
    </w:p>
    <w:p>
      <w:r>
        <w:rPr>
          <w:color w:val="555555"/>
          <w:sz w:val="18"/>
        </w:rPr>
        <w:t xml:space="preserve">Umlegungsausschussverordnung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Auf Grund von §§ 46 Abs. 2 und 155 des Bundesbaugesetzes (BBauG) und Art. 25 Abs. 1 Nr. 3 des Kostengesetzes erläßt die Bayerische Staatsregierung folgende Verordnung:</w:t>
      </w:r>
    </w:p>
    <w:p>
      <w:r>
        <w:rPr>
          <w:color w:val="555555"/>
          <w:sz w:val="17"/>
        </w:rPr>
        <w:t xml:space="preserve">Zitiervorschlag: Eingangsformel UmlegAusschV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https://recht.nulegal.eu/gesetze/UmlegAusschV/eingangsformel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