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UmlegAusschV (Bayern) — Inkrafttreten</w:t>
      </w:r>
    </w:p>
    <w:p>
      <w:r>
        <w:rPr>
          <w:color w:val="555555"/>
          <w:sz w:val="18"/>
        </w:rPr>
        <w:t xml:space="preserve">Umlegungsausschussverordnung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Diese Verordnung tritt mit Wirkung vom 1. Januar 1961 in Kraft.</w:t>
      </w:r>
    </w:p>
    <w:p>
      <w:r>
        <w:t xml:space="preserve">[Amtl. Anm.:] Betrifft die ursprüngliche Fassung vom 18. Januar 1961 (GVBl. S. 27)</w:t>
      </w:r>
    </w:p>
    <w:p>
      <w:r>
        <w:rPr>
          <w:color w:val="555555"/>
          <w:sz w:val="17"/>
        </w:rPr>
        <w:t xml:space="preserve">Zitiervorschlag: § 7 UmlegAusschV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https://recht.nulegal.eu/gesetze/UmlegAusschV/7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