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UmlegAusschV (Bayern) — Vorverfahren</w:t>
      </w:r>
    </w:p>
    <w:p>
      <w:r>
        <w:rPr>
          <w:color w:val="555555"/>
          <w:sz w:val="18"/>
        </w:rPr>
        <w:t xml:space="preserve">Umlegungsausschussverordnung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Ein nach dem Vierten Teil des Ersten Kapitels des Baugesetzbuchs erlassener Verwaltungsakt kann durch Antrag auf gerichtliche Entscheidung nach § 217 BauGB erst angefochten werden, nachdem seine Rechtmäßigkeit und Zweckmäßigkeit in einem Vorverfahren (Widerspruchsverfahren) von der Stelle nachgeprüft worden ist, die ihn erlassen hat.</w:t>
      </w:r>
    </w:p>
    <w:p>
      <w:r>
        <w:t xml:space="preserve">(2) § 68 Abs. 1 Nr. 2 und Abs. 2, §§ 69 bis 73, 75 und 80 der Verwaltungsgerichtsordnung gelten entsprechend.</w:t>
      </w:r>
    </w:p>
    <w:p>
      <w:r>
        <w:t xml:space="preserve">[Amtl. Anm.:] BGBl. FN 213-1</w:t>
      </w:r>
    </w:p>
    <w:p>
      <w:r>
        <w:t xml:space="preserve">[Amtl. Anm.:] BGBl. FN 340-1</w:t>
      </w:r>
    </w:p>
    <w:p>
      <w:r>
        <w:rPr>
          <w:color w:val="555555"/>
          <w:sz w:val="17"/>
        </w:rPr>
        <w:t xml:space="preserve">Zitiervorschlag: § 6 UmlegAusschV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https://recht.nulegal.eu/gesetze/UmlegAusschV/6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