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UmlegAusschV (Bayern) — Grundsätze für die Tätigkeit des Umlegungsausschusses</w:t>
      </w:r>
    </w:p>
    <w:p>
      <w:r>
        <w:rPr>
          <w:color w:val="555555"/>
          <w:sz w:val="18"/>
        </w:rPr>
        <w:t xml:space="preserve">Umlegungsausschussverordnung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Der Umlegungsausschuß entscheidet nach seiner freien, aus den gesamten Verhandlungen und Ermittlungen gewonnenen Überzeugung. Er ist an Weisungen nicht gebunden.</w:t>
      </w:r>
    </w:p>
    <w:p>
      <w:r>
        <w:t xml:space="preserve">(2) Der Umlegungsausschuß berät und beschließt in nichtöffentlicher Sitzung. Zu den Sitzungen können weitere Personen mit beratender Stimme zugezogen werden. Im übrigen gilt Art. 55 Abs. 2 der Gemeindeordnung entsprechend.</w:t>
      </w:r>
    </w:p>
    <w:p>
      <w:r>
        <w:t xml:space="preserve">(3) Der Umlegungsausschuß kann die Entscheidung über Vorgänge nach § 51 des Baugesetzbuchs (BauGB) von geringer Bedeutung einer Stelle übertragen, die seine Entscheidungen vorbereitet.</w:t>
      </w:r>
    </w:p>
    <w:p>
      <w:r>
        <w:t xml:space="preserve">[Amtl. Anm.:] BGBl. FN 213-1</w:t>
      </w:r>
    </w:p>
    <w:p>
      <w:r>
        <w:t xml:space="preserve">[Amtl. Anm.:] § 4 Abs. 3 angefügt mit Wirkung vom 1. Januar 1983 durch Verordnung vom 11. Januar 1983 (GVBl. S. 3)</w:t>
      </w:r>
    </w:p>
    <w:p>
      <w:r>
        <w:t xml:space="preserve">[Amtl. Anm.:] BayRS 2020-1-1-I</w:t>
      </w:r>
    </w:p>
    <w:p>
      <w:r>
        <w:rPr>
          <w:color w:val="555555"/>
          <w:sz w:val="17"/>
        </w:rPr>
        <w:t xml:space="preserve">Zitiervorschlag: § 4 UmlegAusschV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https://recht.nulegal.eu/gesetze/UmlegAusschV/4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