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UmlG (Nordrhein-Westfalen) — Jahresumlage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Umlage ist als Jahresumlage in Tausendteilen der Bemessungsgrundlage nach § 6 festzusetzen. Die Tausendteile können auch eine Dezimalstelle enthalten.</w:t>
      </w:r>
    </w:p>
    <w:p>
      <w:r>
        <w:t xml:space="preserve">(2) Die Umlage wird für das Rechnungsjahr erhoben und ist am 15. Oktober eines jeden Jahres mit ihrem Jahresbetrag fällig.</w:t>
      </w:r>
    </w:p>
    <w:p>
      <w:r>
        <w:rPr>
          <w:color w:val="555555"/>
          <w:sz w:val="17"/>
        </w:rPr>
        <w:t xml:space="preserve">Zitiervorschlag: § 7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