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UmlG (Nordrhein-Westfalen) — Umlagemaßstab</w:t>
      </w:r>
    </w:p>
    <w:p>
      <w:r>
        <w:rPr>
          <w:color w:val="555555"/>
          <w:sz w:val="18"/>
        </w:rPr>
        <w:t xml:space="preserve">Umlagegesetz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Umlagemaßstab für die Betriebe der Land- und Forstwirtschaft gemäß § 3 ist der für die Grundsteuer maßgebende nach § 239 Absatz 1 des Bewertungsgesetzes in der Fassung der Bekanntmachung vom 1. Februar 1991 (BGBl. I S. 230) in der jeweils geltenden Fassung in Verbindung mit § 237 Absatz 1 des Bewertungsgesetzes ermittelte und nach § 230 des Bewertungsgesetzes abgerundete Grundsteuerwert ohne den mit dem Faktor 18,6 kapitalisierten Reinertrag der forstwirtschaftlichen Nutzung nach § 237 Absatz 3 des Bewertungsgesetzes. Soweit die Betriebe der Land- und Forstwirtschaft auch eine bewertungsrechtliche Nutzungsart „Hofstelle“ aufweisen, wird diese Hofstelle insgesamt in die Ermittlung des Umlagemaßstabes einbezogen. Bei der Abgrenzung der zu Wohnzwecken oder anderen nicht land- und forstwirtschaftlichen Zwecken dienender Gebäude oder Gebäudeteile und des zugehörigen Grundes und Bodens ist die steuerrechtliche Zuordnung zum Grundvermögen nach § 232 Absatz 4 Nummer 1 des Bewertungsgesetzes maßgeblich.</w:t>
      </w:r>
    </w:p>
    <w:p>
      <w:r>
        <w:rPr>
          <w:color w:val="555555"/>
          <w:sz w:val="17"/>
        </w:rPr>
        <w:t xml:space="preserve">Zitiervorschlag: § 6 UmlG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https://recht.nulegal.eu/gesetze/UmlG/6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