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UmlG (Nordrhein-Westfalen) — Umlagepflichtige Betriebe</w:t>
      </w:r>
    </w:p>
    <w:p>
      <w:r>
        <w:rPr>
          <w:color w:val="555555"/>
          <w:sz w:val="18"/>
        </w:rPr>
        <w:t xml:space="preserve">Umlagegesetz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Umlage wird erhoben von Betrieben der Land- und Forstwirtschaft im Sinne von § 2 Nummer 1 des Grundsteuergesetzes vom 7. August 1973 (BGBl. I S. 965), das zuletzt durch Artikel 21 des Gesetzes vom 16. Dezember 2022 (BGBl. I S. 2294) geändert worden ist.</w:t>
      </w:r>
    </w:p>
    <w:p>
      <w:r>
        <w:rPr>
          <w:color w:val="555555"/>
          <w:sz w:val="17"/>
        </w:rPr>
        <w:t xml:space="preserve">Zitiervorschlag: § 3 UmlG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https://recht.nulegal.eu/gesetze/UmlG/3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