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UmlG (Nordrhein-Westfalen) — Ermächtigung für Rechtsverordnungen und Verwaltungsvorschriften</w:t>
      </w:r>
    </w:p>
    <w:p>
      <w:r>
        <w:rPr>
          <w:color w:val="555555"/>
          <w:sz w:val="18"/>
        </w:rPr>
        <w:t xml:space="preserve">Umlagegesetz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Ministerium und das Ministerium der Finanzen werden ermächtigt, die zur Ausführung dieses Gesetzes erforderlichen Rechtsverordnungen und Verwaltungsvorschriften gemeinsam zu erlassen; dies gilt nicht für Rechtsverordnungen nach § 2.</w:t>
      </w:r>
    </w:p>
    <w:p>
      <w:r>
        <w:rPr>
          <w:color w:val="555555"/>
          <w:sz w:val="17"/>
        </w:rPr>
        <w:t xml:space="preserve">Zitiervorschlag: § 12 UmlG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https://recht.nulegal.eu/gesetze/UmlG/12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