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UmlG (Nordrhein-Westfalen) — Berechnung, Festsetzung und Erhebung der Umlage</w:t>
      </w:r>
    </w:p>
    <w:p>
      <w:r>
        <w:rPr>
          <w:color w:val="555555"/>
          <w:sz w:val="18"/>
        </w:rPr>
        <w:t xml:space="preserve">Umlagegesetz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Umlage wird vom Landesamt für Finanzen für die Landwirtschaftskammer berechnet, festgesetzt und erhoben.</w:t>
      </w:r>
    </w:p>
    <w:p>
      <w:r>
        <w:t xml:space="preserve">(2) Die Übermittlung personenbezogener Daten durch die Landwirtschaftskammer an das Landesamt für Finanzen ist zulässig, soweit dies zur Berechnung, Festsetzung und Erhebung nach Absatz 1 erforderlich ist.</w:t>
      </w:r>
    </w:p>
    <w:p>
      <w:r>
        <w:t xml:space="preserve">(3) Die Bescheide über die Berechnung, Festsetzung und Erhebung der Umlage können vollständig durch automatische Einrichtungen erlassen werden, sofern kein Anlass für eine Einzelfallbearbeitung besteht.</w:t>
      </w:r>
    </w:p>
    <w:p>
      <w:r>
        <w:t xml:space="preserve">(4) Die Landwirtschaftskammer ist berechtigt, sämtliche gemäß § 31 Absatz 1 der Abgabenordnung in der Fassung der Bekanntmachung vom 1. Oktober 2002 (BGBl. I S. 3866; 2003 I S. 61) in der jeweils geltenden Fassung durch die Finanzbehörden zum Zwecke der Festsetzung der Umlage mitgeteilten Daten zu statistischen Zwecken, zu wissenschaftlichen Forschungszwecken oder für die Erfüllung ihrer Aufgabe nach § 2 Absatz 1 Satz 1 des Landwirtschaftskammergesetzes vom 25. März 2022 (GV. NRW. S. 360, ber. S. 731) in der jeweils geltenden Fassung in anonymisierter Form zu verarbeiten.</w:t>
      </w:r>
    </w:p>
    <w:p>
      <w:r>
        <w:rPr>
          <w:color w:val="555555"/>
          <w:sz w:val="17"/>
        </w:rPr>
        <w:t xml:space="preserve">Zitiervorschlag: § 10 UmlG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https://recht.nulegal.eu/gesetze/UmlG/10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