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UmlAussV (Brandenburg) — Vorverfahren</w:t>
      </w:r>
    </w:p>
    <w:p>
      <w:r>
        <w:rPr>
          <w:color w:val="555555"/>
          <w:sz w:val="18"/>
        </w:rPr>
        <w:t xml:space="preserve">Umlegungsausschussverordnung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nach dem Vierten Teil des Ersten Kapitels des Baugesetzbuches erlassener Verwaltungsakt kann durch Antrag auf gerichtliche Entscheidung nach § 217 des Baugesetzbuches erst angefochten werden, nachdem seine Rechtmäßigkeit und Zweckmäßigkeit in einem Vorverfahren nachgeprüft worden ist. Für das Vorverfahren gelten die §§ 68 bis 80b der Verwaltungsgerichtsordnung entsprechend.</w:t>
      </w:r>
    </w:p>
    <w:p>
      <w:r>
        <w:t xml:space="preserve">(2) Über den Widerspruch entscheidet die Behörde, die den Verwaltungsakt erlassen hat.</w:t>
      </w:r>
    </w:p>
    <w:p>
      <w:r>
        <w:rPr>
          <w:color w:val="555555"/>
          <w:sz w:val="17"/>
        </w:rPr>
        <w:t xml:space="preserve">Zitiervorschlag: § 7 UmlAussV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https://recht.nulegal.eu/gesetze/UmlAussV/7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