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UmlAussV (Brandenburg) — Befugnisse des Umlegungsausschusses</w:t>
      </w:r>
    </w:p>
    <w:p>
      <w:r>
        <w:rPr>
          <w:color w:val="555555"/>
          <w:sz w:val="18"/>
        </w:rPr>
        <w:t xml:space="preserve">Umlegungsausschussverordnung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Gemeinde ordnet die Durchführung der Umlegung durch Beschluss an.</w:t>
      </w:r>
    </w:p>
    <w:p>
      <w:r>
        <w:t xml:space="preserve">(2) Der Umlegungsausschuss hat die der Umlegungsstelle nach den §§ 47 bis 79 des Baugesetzbuches zustehenden Befugnisse.</w:t>
      </w:r>
    </w:p>
    <w:p>
      <w:r>
        <w:t xml:space="preserve">(3) Ist ein Umlegungsausschuss gebildet, so führt er auch vereinfachte Umlegungen nach den §§ 80 bis 84 des Baugesetzbuches selbstständig durch.</w:t>
      </w:r>
    </w:p>
    <w:p>
      <w:r>
        <w:rPr>
          <w:color w:val="555555"/>
          <w:sz w:val="17"/>
        </w:rPr>
        <w:t xml:space="preserve">Zitiervorschlag: § 2 UmlAussV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https://recht.nulegal.eu/gesetze/UmlAussV/2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