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UmlAussV (Brandenburg) — Bildung des Umlegungsausschusses</w:t>
      </w:r>
    </w:p>
    <w:p>
      <w:r>
        <w:rPr>
          <w:color w:val="555555"/>
          <w:sz w:val="18"/>
        </w:rPr>
        <w:t xml:space="preserve">Umlegungsausschussverordnung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Zur Durchführung der Umlegung hat die Gemeinde einen Umlegungsausschuss zu bilden. Für die Durchführung einer vereinfachten Umlegung ist die Bildung eines Umlegungsausschusses nicht erforderlich.</w:t>
      </w:r>
    </w:p>
    <w:p>
      <w:r>
        <w:t xml:space="preserve">(2) Mehrere Gemeinden können durch öffentlich-rechtliche Vereinbarung einen gemeinsamen Umlegungsausschuss bilden.</w:t>
      </w:r>
    </w:p>
    <w:p>
      <w:r>
        <w:t xml:space="preserve">(3) Eine amtsangehörige Gemeinde kann die Bildung des Umlegungsausschusses gemäß § 135 Absatz 5 der Kommunalverfassung des Landes Brandenburg auf das Amt übertragen.</w:t>
      </w:r>
    </w:p>
    <w:p>
      <w:r>
        <w:t xml:space="preserve">(4) Der Umlegungsausschuss führt die Bezeichnung „Gemeinde … Umlegungsausschuss“, in Städten „Stadt … Umlegungsausschuss“. Im Falle des Absatzes 2 führt der Umlegungsausschuss die Bezeichnung „Gemeinsamer Umlegungsausschuss …“, im Falle des Absatzes 3 „Amt … Umlegungsausschuss“.</w:t>
      </w:r>
    </w:p>
    <w:p>
      <w:r>
        <w:rPr>
          <w:color w:val="555555"/>
          <w:sz w:val="17"/>
        </w:rPr>
        <w:t xml:space="preserve">Zitiervorschlag: § 1 UmlAussV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https://recht.nulegal.eu/gesetze/UmlAussV/1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