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UkraineAufenthFGV</w:t>
      </w:r>
    </w:p>
    <w:p>
      <w:r>
        <w:rPr>
          <w:color w:val="555555"/>
          <w:sz w:val="18"/>
        </w:rPr>
        <w:t xml:space="preserve">Ukraine-Aufenthaltserlaubnis-Fortgeltungsverordnung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Auf Grund des § 99 Absatz 1 Nummer 1 des Aufenthaltsgesetzes in der Fassung der Bekanntmachung vom 25. Februar 2008 (BGBl. I S. 162) in Verbindung mit § 1 Absatz 2 des Zuständigkeitsanpassungsgesetzes vom 16. August 2002 (BGBl. I S. 3165) und dem Organisationserlass vom 8. Dezember 2021 (BGBl. I S. 5176)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UkraineAufenthFGV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https://recht.nulegal.eu/gesetze/UkraineAufenthFGV/eingangsformel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