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UkraineAufenthFGV — Inkrafttreten</w:t>
      </w:r>
    </w:p>
    <w:p>
      <w:r>
        <w:rPr>
          <w:color w:val="555555"/>
          <w:sz w:val="18"/>
        </w:rPr>
        <w:t xml:space="preserve">Ukraine-Aufenthaltserlaubnis-Fortgeltungsverordnung</w:t>
      </w:r>
    </w:p>
    <w:p>
      <w:r>
        <w:rPr>
          <w:color w:val="555555"/>
          <w:sz w:val="18"/>
        </w:rPr>
        <w:t xml:space="preserve">Stand: 28.10.2025 (konsolidierte Textfassung, kein amtliches Inkrafttretensdatum)</w:t>
      </w:r>
    </w:p>
    <w:p>
      <w:r>
        <w:t xml:space="preserve">(1) Diese Verordnung tritt am Tag nach der Verkündung in Kraft.</w:t>
      </w:r>
    </w:p>
    <w:p>
      <w:r>
        <w:t xml:space="preserve">(2) Diese Verordnung tritt mit Ablauf des 4. März 2027 außer Kraft.</w:t>
      </w:r>
    </w:p>
    <w:p>
      <w:r>
        <w:rPr>
          <w:color w:val="555555"/>
          <w:sz w:val="17"/>
        </w:rPr>
        <w:t xml:space="preserve">Zitiervorschlag: § 3 UkraineAufenthFGV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https://recht.nulegal.eu/gesetze/UkraineAufenthFGV/3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