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UkraineAufenthFGV — Gegenstand</w:t>
      </w:r>
    </w:p>
    <w:p>
      <w:r>
        <w:rPr>
          <w:color w:val="555555"/>
          <w:sz w:val="18"/>
        </w:rPr>
        <w:t xml:space="preserve">Ukraine-Aufenthaltserlaubnis-Fortgeltungsverordnung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Diese Verordnung regelt die Fortgeltung der Aufenthaltserlaubnisse gemäß § 24 Absatz 1 AufenthG für anlässlich des Krieges in der Ukraine am oder nach dem 24. Februar 2022 nach Deutschland eingereiste Ausländer für die Geltungsdauer des vorübergehenden Schutzes gemäß Artikel 4 der Richtlinie 2001/55/EG des Rates über Mindestnormen für die Gewährung vorübergehenden Schutzes.</w:t>
      </w:r>
    </w:p>
    <w:p>
      <w:r>
        <w:rPr>
          <w:color w:val="555555"/>
          <w:sz w:val="17"/>
        </w:rPr>
        <w:t xml:space="preserve">Zitiervorschlag: § 1 UkraineAufenthFGV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https://recht.nulegal.eu/gesetze/UkraineAufenthFGV/1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