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UkraineAufenthÜV</w:t>
      </w:r>
    </w:p>
    <w:p>
      <w:r>
        <w:rPr>
          <w:color w:val="555555"/>
          <w:sz w:val="18"/>
        </w:rPr>
        <w:t xml:space="preserve">Ukraine-Aufenthalts-Übergangsverordnung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Auf Grund des § 99 Absatz 1 Nummer 1 und 2 in Verbindung mit Absatz 4 Satz 1 und 2 des Aufenthaltsgesetzes, von denen § 99 Absatz 4 Satz 1 des Aufenthaltsgesetzes durch Artikel 169 der Verordnung vom 19. Juni 2020 (BGBl. I S. 1328) geändert worden ist, in Verbindung mit § 1 Absatz 2 des Zuständigkeitsanpassungsgesetzes vom 16. August 2002 (BGBl. I S. 3165) und dem Organisationserlass vom 8. Dezember 2021 (BGBl. I S. 5176) verordnet das Bundesministerium des Innern und für Heimat:</w:t>
      </w:r>
    </w:p>
    <w:p>
      <w:r>
        <w:rPr>
          <w:color w:val="555555"/>
          <w:sz w:val="17"/>
        </w:rPr>
        <w:t xml:space="preserve">Zitiervorschlag: Eingangsformel UkraineAufenthÜV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https://recht.nulegal.eu/gesetze/UkraineAufenth%C3%9CV/eingangsformel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