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UkraineAufenthÜV — Inkrafttreten, Außerkrafttreten</w:t>
      </w:r>
    </w:p>
    <w:p>
      <w:r>
        <w:rPr>
          <w:color w:val="555555"/>
          <w:sz w:val="18"/>
        </w:rPr>
        <w:t xml:space="preserve">Ukraine-Aufenthalts-Übergangsverordnung</w:t>
      </w:r>
    </w:p>
    <w:p>
      <w:r>
        <w:rPr>
          <w:color w:val="555555"/>
          <w:sz w:val="18"/>
        </w:rPr>
        <w:t xml:space="preserve">Stand: 02.12.2025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Sie tritt mit Ablauf des 4. März 2027 außer Kraft.</w:t>
      </w:r>
    </w:p>
    <w:p>
      <w:r>
        <w:rPr>
          <w:color w:val="555555"/>
          <w:sz w:val="17"/>
        </w:rPr>
        <w:t xml:space="preserve">Zitiervorschlag: § 4 UkraineAufenthÜV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https://recht.nulegal.eu/gesetze/UkraineAufenth%C3%9CV/4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