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UkV 2005</w:t>
      </w:r>
    </w:p>
    <w:p>
      <w:r>
        <w:rPr>
          <w:color w:val="555555"/>
          <w:sz w:val="18"/>
        </w:rPr>
        <w:t xml:space="preserve">Unabkömmlichstellungsverordnung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13 Abs. 2 in Verbindung mit § 50 Abs. 1 Nr. 2 und § 50 Abs. 2 des Wehrpflichtgesetzes in der Fassung der Bekanntmachung vom 30. Mai 2005 (BGBl. I S. 1465) sowie des § 68 Abs. 2 in Verbindung mit § 93 Abs. 1 Nr. 9 und § 93 Abs. 4 des Soldatengesetzes in der Fassung der Bekanntmachung vom 30. Mai 2005 (BGBl. I S. 1482) verordnet die Bundesregierung:</w:t>
      </w:r>
    </w:p>
    <w:p>
      <w:r>
        <w:rPr>
          <w:color w:val="555555"/>
          <w:sz w:val="17"/>
        </w:rPr>
        <w:t xml:space="preserve">Zitiervorschlag: Eingangsformel UkV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https://recht.nulegal.eu/gesetze/UkV%202005/eingangsformel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