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UkV 2005 — Inkrafttreten, Außerkrafttreten</w:t>
      </w:r>
    </w:p>
    <w:p>
      <w:r>
        <w:rPr>
          <w:color w:val="555555"/>
          <w:sz w:val="18"/>
        </w:rPr>
        <w:t xml:space="preserve">Unabkömmlichstellungsverordnung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UkV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https://recht.nulegal.eu/gesetze/UkV%202005/7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