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UkV 2005 — Widerruf der Unabkömmlichstellung</w:t>
      </w:r>
    </w:p>
    <w:p>
      <w:r>
        <w:rPr>
          <w:color w:val="555555"/>
          <w:sz w:val="18"/>
        </w:rPr>
        <w:t xml:space="preserve">Unabkömmlichstellungsverordnung</w:t>
      </w:r>
    </w:p>
    <w:p>
      <w:r>
        <w:rPr>
          <w:color w:val="555555"/>
          <w:sz w:val="18"/>
        </w:rPr>
        <w:t xml:space="preserve">Stand: 01.01.2026 (konsolidierte Textfassung, kein amtliches Inkrafttretensdatum)</w:t>
      </w:r>
    </w:p>
    <w:p>
      <w:r>
        <w:t xml:space="preserve">(1) Die Unabkömmlichstellung ist bei Wegfall ihrer Voraussetzungen schriftlich zu widerrufen.</w:t>
      </w:r>
    </w:p>
    <w:p>
      <w:r>
        <w:t xml:space="preserve">(2) Zuständig für den Widerruf ist für Vorschläge</w:t>
      </w:r>
    </w:p>
    <w:p>
      <w:pPr>
        <w:ind w:left="420"/>
      </w:pPr>
      <w:r>
        <w:t xml:space="preserve">1. einer obersten Landesbehörde oder einer obersten Bundesbehörde das Bundesamt für das Personalmanagement der Bundeswehr,</w:t>
      </w:r>
    </w:p>
    <w:p>
      <w:pPr>
        <w:ind w:left="420"/>
      </w:pPr>
      <w:r>
        <w:t xml:space="preserve">2. in den nicht in Nummer 1 genannten Fällen das für den Wohnsitz des Wehrpflichtigen oder des oder der Dienstleistungspflichtigen zuständige Karrierecenter der Bundeswehr.</w:t>
      </w:r>
    </w:p>
    <w:p>
      <w:r>
        <w:t xml:space="preserve">(3) Vor dem Widerruf einer Unabkömmlichstellung soll die vorschlagsberechtigte Behörde gehört werden.</w:t>
      </w:r>
    </w:p>
    <w:p>
      <w:r>
        <w:rPr>
          <w:color w:val="555555"/>
          <w:sz w:val="17"/>
        </w:rPr>
        <w:t xml:space="preserve">Zitiervorschlag: § 5 UkV 2005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https://recht.nulegal.eu/gesetze/UkV%202005/5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