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UkV 2005 — Verfahrensgrundsätze</w:t>
      </w:r>
    </w:p>
    <w:p>
      <w:r>
        <w:rPr>
          <w:color w:val="555555"/>
          <w:sz w:val="18"/>
        </w:rPr>
        <w:t xml:space="preserve">Unabkömmlichstellungsverordnung</w:t>
      </w:r>
    </w:p>
    <w:p>
      <w:r>
        <w:rPr>
          <w:color w:val="555555"/>
          <w:sz w:val="18"/>
        </w:rPr>
        <w:t xml:space="preserve">Stand: 01.01.2026 (konsolidierte Textfassung, kein amtliches Inkrafttretensdatum)</w:t>
      </w:r>
    </w:p>
    <w:p>
      <w:r>
        <w:t xml:space="preserve">(1) Vorschläge zur Unabkömmlichstellung können eingereicht werden, wenn die Bundesregierung den Bereitschaftsdienst angeordnet hat oder der Spannungs- oder der Verteidigungsfall festgestellt worden ist.</w:t>
      </w:r>
    </w:p>
    <w:p>
      <w:r>
        <w:t xml:space="preserve">(2) Über die Vorschläge, Wehrpflichtige oder Dienstleistungspflichtige unabkömmlich zu stellen, entscheidet das für den Wohnsitz zuständige Karrierecenter der Bundeswehr. Vorschläge oberster Landesbehörden sowie Vorschläge oberster Bundesbehörden sind dem Bundesamt für das Personalmanagement der Bundeswehr zur Entscheidung vorzulegen, wenn dem Karrierecenter der Bundeswehr die Vorschläge nicht begründet erscheinen.</w:t>
      </w:r>
    </w:p>
    <w:p>
      <w:r>
        <w:t xml:space="preserve">(3) Vor Ablehnung einer Unabkömmlichstellung soll die vorschlagsberechtigte Behörde gehört werden.</w:t>
      </w:r>
    </w:p>
    <w:p>
      <w:r>
        <w:t xml:space="preserve">(4) Die Einberufung von Wehrpflichtigen oder die Heranziehung von Dienstleistungspflichtigen, deren Unabkömmlichstellung vorgeschlagen wird, ist bis zur Entscheidung über die Unabkömmlichstellung auszusetzen.</w:t>
      </w:r>
    </w:p>
    <w:p>
      <w:r>
        <w:t xml:space="preserve">(5) Unabkömmlichstellungen können ausgesprochen werden</w:t>
      </w:r>
    </w:p>
    <w:p>
      <w:pPr>
        <w:ind w:left="420"/>
      </w:pPr>
      <w:r>
        <w:t xml:space="preserve">1. für begrenzte Zeit,</w:t>
      </w:r>
    </w:p>
    <w:p>
      <w:pPr>
        <w:ind w:left="420"/>
      </w:pPr>
      <w:r>
        <w:t xml:space="preserve">2. für unbegrenzte Zeit.</w:t>
      </w:r>
    </w:p>
    <w:p>
      <w:r>
        <w:t xml:space="preserve">(6) In der Entscheidung über die Unabkömmlichstellung sind die Tätigkeit und die Dauer, für welche die Unabkömmlichstellung ausgesprochen wird, und bei nicht selbständig Tätigen der Dienstherr, der Arbeitgeber oder die Arbeitgeberin anzugeben.</w:t>
      </w:r>
    </w:p>
    <w:p>
      <w:r>
        <w:t xml:space="preserve">(7) Die Entscheidung ist der vorschlagsberechtigten Behörde schriftlich mitzuteilen.</w:t>
      </w:r>
    </w:p>
    <w:p>
      <w:r>
        <w:rPr>
          <w:color w:val="555555"/>
          <w:sz w:val="17"/>
        </w:rPr>
        <w:t xml:space="preserve">Zitiervorschlag: § 3 UkV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https://recht.nulegal.eu/gesetze/UkV%202005/3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