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UhrmMstrV 2005</w:t>
      </w:r>
    </w:p>
    <w:p>
      <w:r>
        <w:rPr>
          <w:color w:val="555555"/>
          <w:sz w:val="18"/>
        </w:rPr>
        <w:t xml:space="preserve">Uhrmachermeisterverordnung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51a Abs. 2 in Verbindung mit Abs. 1 der Handwerksordnung in der Fassung der Bekanntmachung vom 24. September 1998 (BGBl. I S. 3074), der durch Artikel 2 Nr. 24 des Gesetzes vom 23. März 2005 (BGBl. I S. 931) geändert worden ist, verordnet das Bundesministerium für Wirtschaft und Arbeit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UhrmMstrV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https://recht.nulegal.eu/gesetze/UhrmMstrV%202005/eingangsformel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