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UhrmAusbV 2001 — Übergangsregelung</w:t>
      </w:r>
    </w:p>
    <w:p>
      <w:r>
        <w:rPr>
          <w:color w:val="555555"/>
          <w:sz w:val="18"/>
        </w:rPr>
        <w:t xml:space="preserve">Verordnung über die Berufsausbildung zum Uhrmacher/zur Uhrmacherin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Berufsausbildungsverhältnisse, die bei Inkrafttreten dieser Verordnung bestehen, sind die bisherigen Vorschriften weiter anzuwenden, es sei denn, die Vertragsparteien vereinbaren die Anwendung der Vorschriften dieser Verordnung.</w:t>
      </w:r>
    </w:p>
    <w:p>
      <w:r>
        <w:rPr>
          <w:color w:val="555555"/>
          <w:sz w:val="17"/>
        </w:rPr>
        <w:t xml:space="preserve">Zitiervorschlag: § 9 UhrmAusbV 2001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https://recht.nulegal.eu/gesetze/UhrmAusbV%202001/9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