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UhVorschG — Ersatz- und Rückzahlungspflicht</w:t>
      </w:r>
    </w:p>
    <w:p>
      <w:r>
        <w:rPr>
          <w:color w:val="555555"/>
          <w:sz w:val="18"/>
        </w:rPr>
        <w:t xml:space="preserve">Unterhaltsvorschussgesetz</w:t>
      </w:r>
    </w:p>
    <w:p>
      <w:r>
        <w:rPr>
          <w:color w:val="555555"/>
          <w:sz w:val="18"/>
        </w:rPr>
        <w:t xml:space="preserve">Stand: 10.06.2019 (konsolidierte Textfassung, kein amtliches Inkrafttretensdatum)</w:t>
      </w:r>
    </w:p>
    <w:p>
      <w:r>
        <w:t xml:space="preserve">(1) Haben die Voraussetzungen für die Zahlung der Unterhaltsleistung in dem Kalendermonat, für den sie gezahlt worden ist, nicht oder nicht durchgehend vorgelegen, so hat der Elternteil, bei dem der Berechtigte lebt, oder der gesetzliche Vertreter des Berechtigten den geleisteten Betrag insoweit zu ersetzen, als er</w:t>
      </w:r>
    </w:p>
    <w:p>
      <w:pPr>
        <w:ind w:left="420"/>
      </w:pPr>
      <w:r>
        <w:t xml:space="preserve">1. die Zahlung der Unterhaltsleistung dadurch herbeigeführt hat, dass er vorsätzlich oder fahrlässig falsche oder unvollständige Angaben gemacht oder eine Anzeige nach § 6 unterlassen hat, oder</w:t>
      </w:r>
    </w:p>
    <w:p>
      <w:pPr>
        <w:ind w:left="420"/>
      </w:pPr>
      <w:r>
        <w:t xml:space="preserve">2. gewusst oder infolge Fahrlässigkeit nicht gewusst hat, dass die Voraussetzungen für die Zahlung der Unterhaltsleistung nicht erfüllt waren.</w:t>
      </w:r>
    </w:p>
    <w:p>
      <w:r>
        <w:t xml:space="preserve">(2) Haben die Voraussetzungen für die Zahlung der Unterhaltsleistung in dem Kalendermonat, für den sie gezahlt worden ist, nicht vorgelegen, weil der Berechtigte nach Stellung des Antrages auf Unterhaltsleistungen Einkommen im Sinne des § 2 Absatz 3 oder Einkünfte und Erträge im Sinne des § 2 Absatz 4 erzielt hat, die bei der Bewilligung der Unterhaltsleistung nicht berücksichtigt worden sind, so hat der Berechtigte insoweit den geleisteten Betrag zurückzuzahlen.</w:t>
      </w:r>
    </w:p>
    <w:p>
      <w:r>
        <w:rPr>
          <w:color w:val="555555"/>
          <w:sz w:val="17"/>
        </w:rPr>
        <w:t xml:space="preserve">Zitiervorschlag: § 5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