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UhVorschG — Umfang der Unterhaltsleistung</w:t>
      </w:r>
    </w:p>
    <w:p>
      <w:r>
        <w:rPr>
          <w:color w:val="555555"/>
          <w:sz w:val="18"/>
        </w:rPr>
        <w:t xml:space="preserve">Unterhaltsvorschussgesetz</w:t>
      </w:r>
    </w:p>
    <w:p>
      <w:r>
        <w:rPr>
          <w:color w:val="555555"/>
          <w:sz w:val="18"/>
        </w:rPr>
        <w:t xml:space="preserve">Stand: 10.06.2019 (konsolidierte Textfassung, kein amtliches Inkrafttretensdatum)</w:t>
      </w:r>
    </w:p>
    <w:p>
      <w:r>
        <w:t xml:space="preserve">(1) Die Unterhaltsleistung wird monatlich in Höhe des sich nach § 1612a Absatz 1 Satz 3 Nummer 1, 2 oder 3 des Bürgerlichen Gesetzbuchs ergebenden monatlichen Mindestunterhalts gezahlt. § 1612a Abs. 2 Satz 2 des Bürgerlichen Gesetzbuchs gilt entsprechend. Liegen die Voraussetzungen des § 1 nur für den Teil eines Monats vor, wird die Unterhaltsleistung anteilig gezahlt.</w:t>
      </w:r>
    </w:p>
    <w:p>
      <w:r>
        <w:t xml:space="preserve">(2) Wenn der Elternteil, bei dem der Berechtigte lebt, für den Berechtigten Anspruch auf volles Kindergeld nach dem Einkommensteuergesetz oder nach dem Bundeskindergeldgesetz in der jeweils geltenden Fassung oder auf eine der in § 65 Abs. 1 des Einkommensteuergesetzes oder § 4 Abs. 1 des Bundeskindergeldgesetzes bezeichneten Leistungen hat, mindert sich die Unterhaltsleistung um das für ein erstes Kind zu zahlende Kindergeld nach § 66 des Einkommensteuergesetzes oder § 6 des Bundeskindergeldgesetzes. Dasselbe gilt, wenn ein Dritter mit Ausnahme des anderen Elternteils diesen Anspruch hat.</w:t>
      </w:r>
    </w:p>
    <w:p>
      <w:r>
        <w:t xml:space="preserve">(3) Auf die sich nach den Absätzen 1 und 2 ergebende Unterhaltsleistung werden folgende in demselben Monat erzielte Einkünfte des Berechtigten angerechnet:</w:t>
      </w:r>
    </w:p>
    <w:p>
      <w:pPr>
        <w:ind w:left="420"/>
      </w:pPr>
      <w:r>
        <w:t xml:space="preserve">1. Unterhaltszahlungen des Elternteils, bei dem der Berechtigte nicht lebt,</w:t>
      </w:r>
    </w:p>
    <w:p>
      <w:pPr>
        <w:ind w:left="420"/>
      </w:pPr>
      <w:r>
        <w:t xml:space="preserve">2. Waisenbezüge einschließlich entsprechender Schadenersatzleistungen, die wegen des Todes des in Nummer 1 bezeichneten Elternteils oder eines Stiefelternteils gezahlt werden.</w:t>
      </w:r>
    </w:p>
    <w:p>
      <w:r>
        <w:t xml:space="preserve">(4) Für Berechtigte, die keine allgemeinbildende Schule mehr besuchen, mindert sich die nach den Absätzen 1 bis 3 ergebende Unterhaltsleistung, soweit ihre in demselben Monat erzielten Einkünfte des Vermögens und der Ertrag ihrer zumutbaren Arbeit zum Unterhalt ausreichen. Als Ertrag der zumutbaren Arbeit des Berechtigten aus nichtselbstständiger Arbeit gelten die Einnahmen in Geld entsprechend der für die maßgeblichen Monate erstellten Lohn- und Gehaltsbescheinigungen des Arbeitgebers abzüglich eines Zwölftels des Arbeitnehmer-Pauschbetrags; bei Auszubildenden sind zusätzlich pauschal 100 Euro als ausbildungsbedingter Aufwand abzuziehen. Einkünfte und Erträge nach den Sätzen 1 und 2 sind nur zur Hälfte zu berücksichtigen.</w:t>
      </w:r>
    </w:p>
    <w:p>
      <w:r>
        <w:rPr>
          <w:color w:val="555555"/>
          <w:sz w:val="17"/>
        </w:rPr>
        <w:t xml:space="preserve">Zitiervorschlag: § 2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