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UhVorschG — Bußgeldvorschriften</w:t>
      </w:r>
    </w:p>
    <w:p>
      <w:r>
        <w:rPr>
          <w:color w:val="555555"/>
          <w:sz w:val="18"/>
        </w:rPr>
        <w:t xml:space="preserve">Unterhaltsvorschussgesetz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6 Abs. 1 oder 2 auf Verlangen eine Auskunft nicht, nicht richtig, nicht vollständig oder nicht innerhalb der von der zuständigen Stelle gesetzten Frist erteilt oder</w:t>
      </w:r>
    </w:p>
    <w:p>
      <w:pPr>
        <w:ind w:left="420"/>
      </w:pPr>
      <w:r>
        <w:t xml:space="preserve">2. entgegen § 6 Abs. 4 eine Änderung in den dort bezeichneten Verhältnissen nicht richtig, nicht vollständig oder nicht unverzüglich mitteilt.</w:t>
      </w:r>
    </w:p>
    <w:p>
      <w:r>
        <w:t xml:space="preserve">(2) Die Ordnungswidrigkeit kann mit einer Geldbuße geahndet werden.</w:t>
      </w:r>
    </w:p>
    <w:p>
      <w:r>
        <w:t xml:space="preserve">(3) Verwaltungsbehörde im Sinne des § 36 Abs. 1 Nr. 1 des Gesetzes über Ordnungswidrigkeiten ist die durch Landesrecht bestimmte Stelle.</w:t>
      </w:r>
    </w:p>
    <w:p>
      <w:r>
        <w:rPr>
          <w:color w:val="555555"/>
          <w:sz w:val="17"/>
        </w:rPr>
        <w:t xml:space="preserve">Zitiervorschlag: § 10 UhVorschG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https://recht.nulegal.eu/gesetze/UhVorschG/10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