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UhVorschG — Berechtigte</w:t>
      </w:r>
    </w:p>
    <w:p>
      <w:r>
        <w:rPr>
          <w:color w:val="555555"/>
          <w:sz w:val="18"/>
        </w:rPr>
        <w:t xml:space="preserve">Unterhaltsvorschussgesetz</w:t>
      </w:r>
    </w:p>
    <w:p>
      <w:r>
        <w:rPr>
          <w:color w:val="555555"/>
          <w:sz w:val="18"/>
        </w:rPr>
        <w:t xml:space="preserve">Stand: 06.12.2024 (konsolidierte Textfassung, kein amtliches Inkrafttretensdatum)</w:t>
      </w:r>
    </w:p>
    <w:p>
      <w:r>
        <w:t xml:space="preserve">(1) Anspruch auf Unterhaltsvorschuss oder -ausfallleistung nach diesem Gesetz (Unterhaltsleistung) hat, wer</w:t>
      </w:r>
    </w:p>
    <w:p>
      <w:pPr>
        <w:ind w:left="420"/>
      </w:pPr>
      <w:r>
        <w:t xml:space="preserve">1. das zwölfte Lebensjahr noch nicht vollendet hat,</w:t>
      </w:r>
    </w:p>
    <w:p>
      <w:pPr>
        <w:ind w:left="420"/>
      </w:pPr>
      <w:r>
        <w:t xml:space="preserve">2. im Geltungsbereich dieses Gesetzes bei einem seiner Elternteile lebt, der ledig, verwitwet oder geschieden ist oder von seinem Ehegatten oder Lebenspartner dauernd getrennt lebt, und</w:t>
      </w:r>
    </w:p>
    <w:p>
      <w:pPr>
        <w:ind w:left="420"/>
      </w:pPr>
      <w:r>
        <w:t xml:space="preserve">3. nicht oder nicht regelmäßig</w:t>
      </w:r>
    </w:p>
    <w:p>
      <w:pPr>
        <w:ind w:left="780"/>
      </w:pPr>
      <w:r>
        <w:t xml:space="preserve">a) Unterhalt von dem anderen Elternteil oder,</w:t>
      </w:r>
    </w:p>
    <w:p>
      <w:pPr>
        <w:ind w:left="780"/>
      </w:pPr>
      <w:r>
        <w:t xml:space="preserve">b) wenn dieser oder ein Stiefelternteil gestorben ist, Waisenbezüge</w:t>
      </w:r>
    </w:p>
    <w:p>
      <w:pPr>
        <w:ind w:left="420"/>
      </w:pPr>
      <w:r>
        <w:t xml:space="preserve">mindestens in der in § 2 Abs. 1 und 2 bezeichneten Höhe erhält.</w:t>
      </w:r>
    </w:p>
    <w:p>
      <w:r>
        <w:t xml:space="preserve">(1a) Über Absatz 1 Nummer 1 hinaus besteht Anspruch auf Unterhaltsleistung bis zur Vollendung des 18. Lebensjahres des Kindes, wenn</w:t>
      </w:r>
    </w:p>
    <w:p>
      <w:pPr>
        <w:ind w:left="420"/>
      </w:pPr>
      <w:r>
        <w:t xml:space="preserve">1. das Kind keine Leistungen nach dem Zweiten Buch Sozialgesetzbuch bezieht oder durch die Unterhaltsleistung die Hilfebedürftigkeit des Kindes nach § 9 des Zweiten Buches Sozialgesetzbuch vermieden werden kann oder</w:t>
      </w:r>
    </w:p>
    <w:p>
      <w:pPr>
        <w:ind w:left="420"/>
      </w:pPr>
      <w:r>
        <w:t xml:space="preserve">2. der Elternteil nach Absatz 1 Nummer 2 mit Ausnahme des Kindergeldes über Einkommen im Sinne des § 11 Absatz 1 Satz 1 des Zweiten Buches Sozialgesetzbuch in Höhe von mindestens 600 Euro verfügt, wobei Beträge nach § 11b des Zweiten Buches Sozialgesetzbuch nicht abzusetzen sind.</w:t>
      </w:r>
    </w:p>
    <w:p>
      <w:r>
        <w:t xml:space="preserve">Für die Feststellung der Vermeidung der Hilfebedürftigkeit und der Höhe des Einkommens nach Satz 1 ist der für den Monat der Vollendung des zwölften Lebensjahres, bei späterer Antragstellung der für diesen Monat und bei Überprüfung zu einem späteren Zeitpunkt der für diesen Monat zuletzt bekanntgegebene Bescheid des Jobcenters zugrunde zu legen. Die jeweilige Feststellung wirkt für die Zeit von dem jeweiligen Monat bis einschließlich des Monats der nächsten Überprüfung.</w:t>
      </w:r>
    </w:p>
    <w:p>
      <w:r>
        <w:t xml:space="preserve">(2) Ein Elternteil, bei dem das Kind lebt, gilt als dauernd getrennt lebend im Sinne des Absatzes 1 Nr. 2, wenn im Verhältnis zum Ehegatten oder Lebenspartner ein Getrenntleben im Sinne des § 1567 des Bürgerlichen Gesetzbuchs vorliegt oder wenn sein Ehegatte oder Lebenspartner wegen Krankheit oder Behinderung oder auf Grund gerichtlicher Anordnung für voraussichtlich wenigstens sechs Monate in einer Anstalt untergebracht ist.</w:t>
      </w:r>
    </w:p>
    <w:p>
      <w:r>
        <w:t xml:space="preserve">(2a) Ein nicht freizügigkeitsberechtigter Ausländer hat einen Anspruch nach Absatz 1 oder Absatz 1a nur, wenn er oder sein Elternteil nach Absatz 1 Nummer 2</w:t>
      </w:r>
    </w:p>
    <w:p>
      <w:pPr>
        <w:ind w:left="420"/>
      </w:pPr>
      <w:r>
        <w:t xml:space="preserve">1. eine Niederlassungserlaubnis oder eine Erlaubnis zum Daueraufenthalt-EU besitzt,</w:t>
      </w:r>
    </w:p>
    <w:p>
      <w:pPr>
        <w:ind w:left="420"/>
      </w:pPr>
      <w:r>
        <w:t xml:space="preserve">2. eine Blaue Karte EU, eine ICT-Karte, eine Mobiler-ICT-Karte oder eine Aufenthaltserlaubnis besitzt, die für einen Zeitraum von mindestens sechs Monaten zur Ausübung einer Erwerbstätigkeit berechtigen oder berechtigt haben oder diese erlauben, es sei denn, die Aufenthaltserlaubnis wurde</w:t>
      </w:r>
    </w:p>
    <w:p>
      <w:pPr>
        <w:ind w:left="780"/>
      </w:pPr>
      <w:r>
        <w:t xml:space="preserve">a) nach § 16e des Aufenthaltsgesetzes zu Ausbildungszwecken, nach § 19c Absatz 1 des Aufenthaltsgesetzes zum Zweck der Beschäftigung als Au-Pair oder zum Zweck der Saisonbeschäftigung, nach § 19e des Aufenthaltsgesetzes zum Zweck der Teilnahme an einem Europäischen Freiwilligendienst oder nach § 20a Absatz 5 Satz 1 des Aufenthaltsgesetzes zur Suche nach einer Erwerbstätigkeit oder nach Maßnahmen zur Anerkennung ausländischer Berufsqualifikationen erteilt,</w:t>
      </w:r>
    </w:p>
    <w:p>
      <w:pPr>
        <w:ind w:left="780"/>
      </w:pPr>
      <w:r>
        <w:t xml:space="preserve">b) nach § 16b des Aufenthaltsgesetzes zum Zweck eines Studiums, nach § 16d des Aufenthaltsgesetzes für Maßnahmen zur Anerkennung ausländischer Berufsqualifikationen, nach § 20 des Aufenthaltsgesetzes zur Suche nach einer Erwerbstätigkeit oder nach § 20a Absatz 5 Satz 2 des Aufenthaltsgesetzes zur Suche nach einer Erwerbstätigkeit oder nach Maßnahmen zur Anerkennung ausländischer Berufsqualifikationen erteilt und er ist weder erwerbstätig noch nimmt er Elternzeit nach § 15 des Bundeselterngeld- und Elternzeitgesetzes oder laufende Geldleistungen nach dem Dritten Buch Sozialgesetzbuch in Anspruch,</w:t>
      </w:r>
    </w:p>
    <w:p>
      <w:pPr>
        <w:ind w:left="780"/>
      </w:pPr>
      <w:r>
        <w:t xml:space="preserve">c) nach § 23 Absatz 1 des Aufenthaltsgesetzes wegen eines Krieges in seinem Heimatland oder nach den § 23a oder § 25 Absatz 3 bis 5 des Aufenthaltsgesetzes erteilt,</w:t>
      </w:r>
    </w:p>
    <w:p>
      <w:pPr>
        <w:ind w:left="420"/>
      </w:pPr>
      <w:r>
        <w:t xml:space="preserve">3. eine in Nummer 2 Buchstabe c genannte Aufenthaltserlaubnis besitzt und im Bundesgebiet berechtigt erwerbstätig ist oder Elternzeit nach § 15 des Bundeselterngeld- und Elternzeitgesetzes oder laufende Geldleistungen nach dem Dritten Buch Sozialgesetzbuch in Anspruch nimmt,</w:t>
      </w:r>
    </w:p>
    <w:p>
      <w:pPr>
        <w:ind w:left="420"/>
      </w:pPr>
      <w:r>
        <w:t xml:space="preserve">4. eine in Nummer 2 Buchstabe c genannte Aufenthaltserlaubnis besitzt und sich seit mindestens 15 Monaten erlaubt, gestattet oder geduldet im Bundesgebiet aufhält oder</w:t>
      </w:r>
    </w:p>
    <w:p>
      <w:pPr>
        <w:ind w:left="420"/>
      </w:pPr>
      <w:r>
        <w:t xml:space="preserve">5. eine Beschäftigungsduldung gemäß § 60d in Verbindung mit § 60a Absatz 2 Satz 3 des Aufenthaltsgesetzes besitzt.</w:t>
      </w:r>
    </w:p>
    <w:p>
      <w:r>
        <w:t xml:space="preserve">Abweichend von Satz 1 Nummer 3 erste Alternative ist ein minderjähriger nicht freizügigkeitsberechtigter Ausländer unabhängig von einer Erwerbstätigkeit anspruchsberechtigt.</w:t>
      </w:r>
    </w:p>
    <w:p>
      <w:r>
        <w:t xml:space="preserve">(3) Anspruch auf Unterhaltsleistung nach diesem Gesetz besteht nicht, wenn der in Absatz 1 Nr. 2 bezeichnete Elternteil mit dem anderen Elternteil zusammenlebt oder sich weigert, die Auskünfte, die zur Durchführung dieses Gesetzes erforderlich sind, zu erteilen oder bei der Feststellung der Vaterschaft oder des Aufenthalts des anderen Elternteils mitzuwirken.</w:t>
      </w:r>
    </w:p>
    <w:p>
      <w:r>
        <w:t xml:space="preserve">(4) Anspruch auf Unterhaltsleistung nach diesem Gesetz besteht nicht für Monate, für die der andere Elternteil seine Unterhaltspflicht gegenüber dem Berechtigten durch Vorausleistung erfüllt hat. Soweit der Bedarf eines Kindes durch Leistungen nach dem Achten Buch Sozialgesetzbuch gedeckt ist, besteht kein Anspruch auf Unterhaltsleistung nach diesem Gesetz.</w:t>
      </w:r>
    </w:p>
    <w:p>
      <w:r>
        <w:rPr>
          <w:color w:val="555555"/>
          <w:sz w:val="17"/>
        </w:rPr>
        <w:t xml:space="preserve">Zitiervorschlag: § 1 UhVorschG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https://recht.nulegal.eu/gesetze/UhVorschG/1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