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UhAnerkÜbkAG</w:t>
      </w:r>
    </w:p>
    <w:p>
      <w:r>
        <w:rPr>
          <w:color w:val="555555"/>
          <w:sz w:val="18"/>
        </w:rPr>
        <w:t xml:space="preserve">Gesetz zur Ausführung des Haager Übereinkommens vom 15. April 1958 über die Anerkennung und Vollstreckung von Entscheidungen auf dem Gebiet der Unterhaltspflicht gegenüber Kindern</w:t>
      </w:r>
    </w:p>
    <w:p>
      <w:r>
        <w:rPr>
          <w:color w:val="555555"/>
          <w:sz w:val="18"/>
        </w:rPr>
        <w:t xml:space="preserve">Stand: 10.06.2019 (konsolidierte Textfassung, kein amtliches Inkrafttretensdatum)</w:t>
      </w:r>
    </w:p>
    <w:p>
      <w:r>
        <w:t xml:space="preserve">(1) Will eine Partei ein Versäumnis- oder Anerkenntnisurteil, das über einen Unterhaltsanspruch von Kindern ergangen und nach § 313b der Zivilprozeßordnung in abgekürzter Form hergestellt ist, in einem der Vertragsstaaten geltend machen, so ist das Urteil auf ihren Antrag zu vervollständigen. Der Antrag kann bei dem Gericht schriftlich eingereicht oder mündlich zu Protokoll der Geschäftsstelle gestellt werden. Über den Antrag wird ohne mündliche Verhandlung entschieden.</w:t>
      </w:r>
    </w:p>
    <w:p>
      <w:r>
        <w:t xml:space="preserve">(2) Zur Vervollständigung des Urteils sind der Tatbestand und die Entscheidungsgründe nachträglich anzufertigen, von den Richtern besonders zu unterschreiben und der Geschäftsstelle zu übergeben; der Tatbestand und die Entscheidungsgründe können auch von Richtern unterschrieben werden, die bei dem Urteil nicht mitgewirkt haben.</w:t>
      </w:r>
    </w:p>
    <w:p>
      <w:r>
        <w:t xml:space="preserve">(3) Für die Berichtigung des nachträglich angefertigten Tatbestandes gilt § 320 der Zivilprozeßordnung entsprechend. Jedoch können bei der Entscheidung über einen Antrag auf Berichtigung auch solche Richter mitwirken, die bei dem Urteil oder der nachträglichen Anfertigung des Tatbestandes nicht mitgewirkt haben.</w:t>
      </w:r>
    </w:p>
    <w:p>
      <w:r>
        <w:t xml:space="preserve">(4) Für die Vervollständigung des Urteils werden Gerichtsgebühren nicht erhoben.</w:t>
      </w:r>
    </w:p>
    <w:p>
      <w:r>
        <w:rPr>
          <w:color w:val="555555"/>
          <w:sz w:val="17"/>
        </w:rPr>
        <w:t xml:space="preserve">Zitiervorschlag: § 9 UhAnerkÜbkAG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https://recht.nulegal.eu/gesetze/UhAnerk%C3%9CbkAG/9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