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UhAnerkÜbkAG</w:t>
      </w:r>
    </w:p>
    <w:p>
      <w:r>
        <w:rPr>
          <w:color w:val="555555"/>
          <w:sz w:val="18"/>
        </w:rPr>
        <w:t xml:space="preserve">Gesetz zur Ausführung des Haager Übereinkommens vom 15. April 1958 über die Anerkennung und Vollstreckung von Entscheidungen auf dem Gebiet der Unterhaltspflicht gegenüber Kindern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Ist zu erwarten, daß ein Versäumnis- oder Anerkenntnisurteil, durch das über einen Unterhaltsanspruch von Kindern (Artikel 1 des Übereinkommens) entschieden wird, in einem der Vertragsstaaten geltend gemacht werden soll, so darf das Urteil nicht in abgekürzter Form (§ 313b der Zivilprozeßordnung) hergestellt werden.</w:t>
      </w:r>
    </w:p>
    <w:p>
      <w:r>
        <w:rPr>
          <w:color w:val="555555"/>
          <w:sz w:val="17"/>
        </w:rPr>
        <w:t xml:space="preserve">Zitiervorschlag: § 8 UhAnerkÜbkAG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https://recht.nulegal.eu/gesetze/UhAnerk%C3%9CbkAG/8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