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UhAnerkÜbkAG</w:t>
      </w:r>
    </w:p>
    <w:p>
      <w:r>
        <w:rPr>
          <w:color w:val="555555"/>
          <w:sz w:val="18"/>
        </w:rPr>
        <w:t xml:space="preserve">Gesetz zur Ausführung des Haager Übereinkommens vom 15. April 1958 über die Anerkennung und Vollstreckung von Entscheidungen auf dem Gebiet der Unterhaltspflicht gegenüber Kindern</w:t>
      </w:r>
    </w:p>
    <w:p>
      <w:r>
        <w:rPr>
          <w:color w:val="555555"/>
          <w:sz w:val="18"/>
        </w:rPr>
        <w:t xml:space="preserve">Stand: 10.06.2019 (konsolidierte Textfassung, kein amtliches Inkrafttretensdatum)</w:t>
      </w:r>
    </w:p>
    <w:p>
      <w:r>
        <w:t xml:space="preserve">Hängt die Vollstreckung nach dem Inhalt der Entscheidung von einer dem Gläubiger obliegenden Sicherheitsleistung, dem Ablauf einer Frist oder dem Eintritt einer anderen Tatsache ab, so ist die Frage, inwieweit die Vollstreckbarerklärung von dem Nachweis besonderer Voraussetzungen abhängig ist, nach dem Recht zu entscheiden, das für das Gericht des Urteilsstaates maßgebend ist. Der Nachweis ist durch öffentliche oder öffentlich beglaubigte Urkunden zu führen, sofern nicht die Tatsachen bei dem Gericht offenkundig sind. Kann er in dieser Form nicht erbracht werden, so ist mündliche Verhandlung anzuordnen.</w:t>
      </w:r>
    </w:p>
    <w:p>
      <w:r>
        <w:rPr>
          <w:color w:val="555555"/>
          <w:sz w:val="17"/>
        </w:rPr>
        <w:t xml:space="preserve">Zitiervorschlag: § 3 UhAnerkÜbkAG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https://recht.nulegal.eu/gesetze/UhAnerk%C3%9CbkAG/3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