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UckmG (Brandenburg)</w:t>
      </w:r>
    </w:p>
    <w:p>
      <w:r>
        <w:rPr>
          <w:color w:val="555555"/>
          <w:sz w:val="18"/>
        </w:rPr>
        <w:t xml:space="preserve">Uckermark-Gesetz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Uckermark sollen den Städten Angermünde und Templin, die infolge der Kreisgebietsreform die Eigenschaft als Kreissitz verlieren, einen angemessenen Ausgleich verschaffen.</w:t>
      </w:r>
    </w:p>
    <w:p>
      <w:r>
        <w:t xml:space="preserve">(2) Die Städte Angermünde und Templin erhalten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erhalten</w:t>
      </w:r>
    </w:p>
    <w:p>
      <w:r>
        <w:t xml:space="preserve">die Stadt Angermünde eine zusätzlicheInvestitionspauschale in Höhe von 1 171 560 DM jährlich und</w:t>
      </w:r>
    </w:p>
    <w:p>
      <w:r>
        <w:t xml:space="preserve">die Stadt Templin eine zusätzliche Investitionspauschale in Höhe von 1 235 000 DM jährlich.</w:t>
      </w:r>
    </w:p>
    <w:p>
      <w:r>
        <w:rPr>
          <w:color w:val="555555"/>
          <w:sz w:val="17"/>
        </w:rPr>
        <w:t xml:space="preserve">Zitiervorschlag: § 3 UckmG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https://recht.nulegal.eu/gesetze/UckmG/3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