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UckmG (Brandenburg)</w:t>
      </w:r>
    </w:p>
    <w:p>
      <w:r>
        <w:rPr>
          <w:color w:val="555555"/>
          <w:sz w:val="18"/>
        </w:rPr>
        <w:t xml:space="preserve">Uckermark-Gesetz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durch § 5 des Kreisneugliederungsgesetzes aus</w:t>
      </w:r>
    </w:p>
    <w:p>
      <w:r>
        <w:t xml:space="preserve">den Kreisen Angermünde, Prenzlau und Templin,</w:t>
      </w:r>
    </w:p>
    <w:p>
      <w:r>
        <w:t xml:space="preserve">der bisher kreisfreien Stadt Schwedt</w:t>
      </w:r>
    </w:p>
    <w:p>
      <w:r>
        <w:t xml:space="preserve">und der Gemeinde Bölkendorf (Kreis Eberswalde)</w:t>
      </w:r>
    </w:p>
    <w:p>
      <w:r>
        <w:t xml:space="preserve">gebildete Landkreis führt den Namen "Landkreis Uckermark" .</w:t>
      </w:r>
    </w:p>
    <w:p>
      <w:r>
        <w:rPr>
          <w:color w:val="555555"/>
          <w:sz w:val="17"/>
        </w:rPr>
        <w:t xml:space="preserve">Zitiervorschlag: § 1 UckmG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https://recht.nulegal.eu/gesetze/UckmG/1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