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UZwG — Handeln auf Anordnung</w:t>
      </w:r>
    </w:p>
    <w:p>
      <w:r>
        <w:rPr>
          <w:color w:val="555555"/>
          <w:sz w:val="18"/>
        </w:rPr>
        <w:t xml:space="preserve">Gesetz über den unmittelbaren Zwang bei Ausübung öffentlicher Gewalt durch Vollzugsbeamte des Bundes</w:t>
      </w:r>
    </w:p>
    <w:p>
      <w:r>
        <w:rPr>
          <w:color w:val="555555"/>
          <w:sz w:val="18"/>
        </w:rPr>
        <w:t xml:space="preserve">Stand: 10.06.2019 (konsolidierte Textfassung, kein amtliches Inkrafttretensdatum)</w:t>
      </w:r>
    </w:p>
    <w:p>
      <w:r>
        <w:t xml:space="preserve">(1) Vollzugsbeamte sind verpflichtet, unmittelbaren Zwang anzuwenden, der im Vollzugsdienst von ihrem Vorgesetzten oder einer sonst dazu befugten Person angeordnet wird. Dies gilt nicht, wenn die Anordnung die Menschenwürde verletzt oder nicht zu dienstlichen Zwecken erteilt worden ist.</w:t>
      </w:r>
    </w:p>
    <w:p>
      <w:r>
        <w:t xml:space="preserve">(2) Eine Anordnung darf nicht befolgt werden, wenn dadurch eine Straftat begangen würde. Befolgt der Vollzugsbeamte die Anordnung trotzdem, so trifft ihn eine Schuld nur, wenn er erkennt oder wenn es nach den ihm bekannten Umständen offensichtlich ist, daß dadurch eine Straftat begangen wird.</w:t>
      </w:r>
    </w:p>
    <w:p>
      <w:r>
        <w:t xml:space="preserve">(3) Bedenken gegen die Rechtmäßigkeit der Anordnung hat der Vollzugsbeamte dem Anordnenden gegenüber vorzubringen, soweit das nach den Umständen möglich ist.</w:t>
      </w:r>
    </w:p>
    <w:p>
      <w:r>
        <w:t xml:space="preserve">(4) § 56 Abs. 2 und 3 des Bundesbeamtengesetzes in der Fassung der Bekanntmachung vom 17. Juli 1971 (Bundesgesetzbl. I S. 1181) ist nicht anzuwenden.</w:t>
      </w:r>
    </w:p>
    <w:p>
      <w:r>
        <w:rPr>
          <w:color w:val="555555"/>
          <w:sz w:val="17"/>
        </w:rPr>
        <w:t xml:space="preserve">Zitiervorschlag: § 7 UZwG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