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UZwG — Grundsatz der Verhältnismäßigkeit</w:t>
      </w:r>
    </w:p>
    <w:p>
      <w:r>
        <w:rPr>
          <w:color w:val="555555"/>
          <w:sz w:val="18"/>
        </w:rPr>
        <w:t xml:space="preserve">Gesetz über den unmittelbaren Zwang bei Ausübung öffentlicher Gewalt durch Vollzugsbeamte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Vollzugsbeamten haben bei der Anwendung unmittelbaren Zwanges unter mehreren möglichen und geeigneten Maßnahmen diejenigen zu treffen, die den einzelnen und die Allgemeinheit am wenigsten beeinträchtigen.</w:t>
      </w:r>
    </w:p>
    <w:p>
      <w:r>
        <w:t xml:space="preserve">(2) Ein durch eine Maßnahme des unmittelbaren Zwanges zu erwartender Schaden darf nicht erkennbar außer Verhältnis zu dem beabsichtigten Erfolg stehen.</w:t>
      </w:r>
    </w:p>
    <w:p>
      <w:r>
        <w:rPr>
          <w:color w:val="555555"/>
          <w:sz w:val="17"/>
        </w:rPr>
        <w:t xml:space="preserve">Zitiervorschlag: § 4 UZwG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