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UZwG — Verwaltungsvorschriften</w:t>
      </w:r>
    </w:p>
    <w:p>
      <w:r>
        <w:rPr>
          <w:color w:val="555555"/>
          <w:sz w:val="18"/>
        </w:rPr>
        <w:t xml:space="preserve">Gesetz über den unmittelbaren Zwang bei Ausübung öffentlicher Gewalt durch Vollzugsbeamte des Bundes</w:t>
      </w:r>
    </w:p>
    <w:p>
      <w:r>
        <w:rPr>
          <w:color w:val="555555"/>
          <w:sz w:val="18"/>
        </w:rPr>
        <w:t xml:space="preserve">Stand: 01.07.2020 (konsolidierte Textfassung, kein amtliches Inkrafttretensdatum)</w:t>
      </w:r>
    </w:p>
    <w:p>
      <w:r>
        <w:t xml:space="preserve">Die allgemeinen Verwaltungsvorschriften zu diesem Gesetz erläßt das Bundesministerium des Innern, für Bau und Heimat für seinen Geschäftsbereich; die anderen Bundesministerien erlassen sie für ihre Geschäftsbereiche im Einvernehmen mit dem Bundesministerium des Innern, für Bau und Heimat.</w:t>
      </w:r>
    </w:p>
    <w:p>
      <w:r>
        <w:rPr>
          <w:color w:val="555555"/>
          <w:sz w:val="17"/>
        </w:rPr>
        <w:t xml:space="preserve">Zitiervorschlag: § 18 UZwG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https://recht.nulegal.eu/gesetze/UZwG/18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