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UZwG — Androhung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Anwendung von Schußwaffen ist anzudrohen. Als Androhung gilt auch die Abgabe eines Warnschusses. Einer Menschenmenge gegenüber ist die Androhung zu wiederholen.</w:t>
      </w:r>
    </w:p>
    <w:p>
      <w:r>
        <w:t xml:space="preserve">(2) Der Einsatz von Wasserwerfern und Dienstfahrzeugen gegen eine Menschenmenge ist anzudrohen.</w:t>
      </w:r>
    </w:p>
    <w:p>
      <w:r>
        <w:rPr>
          <w:color w:val="555555"/>
          <w:sz w:val="17"/>
        </w:rPr>
        <w:t xml:space="preserve">Zitiervorschlag: § 13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