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UZwBwG — Voraussetzungen des unmittelbaren Zwanges</w:t>
      </w:r>
    </w:p>
    <w:p>
      <w:r>
        <w:rPr>
          <w:color w:val="555555"/>
          <w:sz w:val="18"/>
        </w:rPr>
        <w:t xml:space="preserve">Gesetz über die Anwendung unmittelbaren Zwanges und die Ausübung besonderer Befugnisse durch Soldatinnen und Soldaten der Bundeswehr und verbündeter Streitkräfte sowie durch zivile Wachpersonen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Unmittelbarer Zwang darf nach Maßgabe der Vorschriften des 3. Abschnitts nur angewandt werden, wenn dies den Umständen nach erforderlich ist und geschieht,</w:t>
      </w:r>
    </w:p>
    <w:p>
      <w:pPr>
        <w:ind w:left="420"/>
      </w:pPr>
      <w:r>
        <w:t xml:space="preserve">1. um die unmittelbar bevorstehende Ausführung oder die Fortsetzung einer Straftat gegen die Bundeswehr zu verhindern,</w:t>
      </w:r>
    </w:p>
    <w:p>
      <w:pPr>
        <w:ind w:left="420"/>
      </w:pPr>
      <w:r>
        <w:t xml:space="preserve">2. um sonstige rechtswidrige Störungen der dienstlichen Tätigkeit der Bundeswehr zu beseitigen, wenn sie die Einsatzbereitschaft, Schlagkraft oder Sicherheit der Truppe gefährden,</w:t>
      </w:r>
    </w:p>
    <w:p>
      <w:pPr>
        <w:ind w:left="420"/>
      </w:pPr>
      <w:r>
        <w:t xml:space="preserve">3. um eine nach diesem Gesetz zulässige Maßnahme oder eine vorläufige Festnahme nach § 127 Abs. 1 der Strafprozeßordnung wegen einer Straftat gegen die Bundeswehr zu erzwingen.</w:t>
      </w:r>
    </w:p>
    <w:p>
      <w:r>
        <w:rPr>
          <w:color w:val="555555"/>
          <w:sz w:val="17"/>
        </w:rPr>
        <w:t xml:space="preserve">Zitiervorschlag: § 9 UZwBwG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https://recht.nulegal.eu/gesetze/UZwBwG/9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