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20a UZwBwG — Datenverarbeitung und Datenübermittlung</w:t>
      </w:r>
    </w:p>
    <w:p>
      <w:r>
        <w:rPr>
          <w:color w:val="555555"/>
          <w:sz w:val="18"/>
        </w:rPr>
        <w:t xml:space="preserve">Gesetz über die Anwendung unmittelbaren Zwanges und die Ausübung besonderer Befugnisse durch Soldatinnen und Soldaten der Bundeswehr und verbündeter Streitkräfte sowie durch zivile Wachpersonen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Die Verarbeitung personenbezogener Daten ist nur offen und bei der betroffenen Person durch den in § 1 benannten Personenkreis zulässig, wenn dies zur Erfüllung der durch dieses Gesetz übertragenen Befugnisse erforderlich ist.</w:t>
      </w:r>
    </w:p>
    <w:p>
      <w:r>
        <w:rPr>
          <w:color w:val="555555"/>
          <w:sz w:val="17"/>
        </w:rPr>
        <w:t xml:space="preserve">Zitiervorschlag: § 20a UZwBwG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https://recht.nulegal.eu/gesetze/UZwBwG/20a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20a UZwBwG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