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UZwBwG — Androhung des Schußwaffengebrauchs</w:t>
      </w:r>
    </w:p>
    <w:p>
      <w:r>
        <w:rPr>
          <w:color w:val="555555"/>
          <w:sz w:val="18"/>
        </w:rPr>
        <w:t xml:space="preserve">Gesetz über die Anwendung unmittelbaren Zwanges und die Ausübung besonderer Befugnisse durch Soldatinnen und Soldaten der Bundeswehr und verbündeter Streitkräfte sowie durch zivile Wachpersonen</w:t>
      </w:r>
    </w:p>
    <w:p>
      <w:r>
        <w:rPr>
          <w:color w:val="555555"/>
          <w:sz w:val="18"/>
        </w:rPr>
        <w:t xml:space="preserve">Stand: 10.06.2019 (konsolidierte Textfassung, kein amtliches Inkrafttretensdatum)</w:t>
      </w:r>
    </w:p>
    <w:p>
      <w:r>
        <w:t xml:space="preserve">(1) Der Gebrauch von Schußwaffen ist anzudrohen. Als Androhung gilt auch die Abgabe eines Warnschusses. Einer Menschenmenge gegenüber ist die Androhung zu wiederholen.</w:t>
      </w:r>
    </w:p>
    <w:p>
      <w:r>
        <w:t xml:space="preserve">(2) Schußwaffen dürfen ohne Androhung nur in den Fällen des § 15 Abs. 1 Nr. 1 Buchstaben a bis c und nur dann gebraucht werden, wenn der sofortige Gebrauch ohne Androhung das einzige Mittel ist, um eine Gefahr für Leib oder Leben eines Menschen oder die Gefahr eines besonders schweren Nachteils für Anlagen, Einrichtungen, Schiffe oder Wehrmittel der Bundeswehr oder der verbündeten Streitkräfte von bedeutendem Wert oder für die Sicherheit der Bundesrepublik Deutschland abzuwenden.</w:t>
      </w:r>
    </w:p>
    <w:p>
      <w:r>
        <w:rPr>
          <w:color w:val="555555"/>
          <w:sz w:val="17"/>
        </w:rPr>
        <w:t xml:space="preserve">Zitiervorschlag: § 17 UZwBwG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https://recht.nulegal.eu/gesetze/UZwBwG/17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