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UWG 2004 — Schadensersatz</w:t>
      </w:r>
    </w:p>
    <w:p>
      <w:r>
        <w:rPr>
          <w:color w:val="555555"/>
          <w:sz w:val="18"/>
        </w:rPr>
        <w:t xml:space="preserve">Gesetz gegen den unlauteren Wettbewerb</w:t>
      </w:r>
    </w:p>
    <w:p>
      <w:r>
        <w:rPr>
          <w:color w:val="555555"/>
          <w:sz w:val="18"/>
        </w:rPr>
        <w:t xml:space="preserve">Stand: 28.05.2022 (konsolidierte Textfassung, kein amtliches Inkrafttretensdatum)</w:t>
      </w:r>
    </w:p>
    <w:p>
      <w:r>
        <w:t xml:space="preserve">(1) Wer vorsätzlich oder fahrlässig eine nach § 3 oder § 7 unzulässige geschäftliche Handlung vornimmt, ist den Mitbewerbern zum Ersatz des daraus entstehenden Schadens verpflichtet.</w:t>
      </w:r>
    </w:p>
    <w:p>
      <w:r>
        <w:t xml:space="preserve">(2) Wer vorsätzlich oder fahrlässig eine nach § 3 unzulässige geschäftliche Handlung vornimmt und hierdurch Verbraucher zu einer geschäftlichen Entscheidung veranlasst, die sie andernfalls nicht getroffen hätten, ist ihnen zum Ersatz des daraus entstehenden Schadens verpflichtet. Dies gilt nicht für unlautere geschäftliche Handlungen nach den §§ 3a, 4 und 6 sowie nach Nummer 32 des Anhangs.</w:t>
      </w:r>
    </w:p>
    <w:p>
      <w:r>
        <w:t xml:space="preserve">(3) Gegen verantwortliche Personen von periodischen Druckschriften kann der Anspruch auf Schadensersatz nach den Absätzen 1 und 2 nur bei einer vorsätzlichen Zuwiderhandlung geltend gemacht werden.</w:t>
      </w:r>
    </w:p>
    <w:p>
      <w:r>
        <w:rPr>
          <w:color w:val="555555"/>
          <w:sz w:val="17"/>
        </w:rPr>
        <w:t xml:space="preserve">Zitiervorschlag: § 9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